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sz w:val="32"/>
          <w:szCs w:val="32"/>
          <w:rtl w:val="0"/>
        </w:rPr>
        <w:t xml:space="preserve">Solicitud de acceso y uso de REDCap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Rellene la siguiente información acerca de las muestras. En caso de cualquier duda, consúltenos previamente en el correo </w:t>
      </w:r>
      <w:hyperlink r:id="rId7">
        <w:r w:rsidDel="00000000" w:rsidR="00000000" w:rsidRPr="00000000">
          <w:rPr>
            <w:rFonts w:ascii="arial" w:cs="arial" w:eastAsia="arial" w:hAnsi="arial"/>
            <w:b w:val="0"/>
            <w:color w:val="1155cc"/>
            <w:sz w:val="20"/>
            <w:szCs w:val="20"/>
            <w:u w:val="single"/>
            <w:rtl w:val="0"/>
          </w:rPr>
          <w:t xml:space="preserve">biocomputac</w:t>
        </w:r>
      </w:hyperlink>
      <w:hyperlink r:id="rId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io</w:t>
        </w:r>
      </w:hyperlink>
      <w:hyperlink r:id="rId9">
        <w:r w:rsidDel="00000000" w:rsidR="00000000" w:rsidRPr="00000000">
          <w:rPr>
            <w:rFonts w:ascii="Arial" w:cs="Arial" w:eastAsia="Arial" w:hAnsi="Arial"/>
            <w:b w:val="0"/>
            <w:color w:val="1155cc"/>
            <w:sz w:val="20"/>
            <w:szCs w:val="20"/>
            <w:u w:val="single"/>
            <w:rtl w:val="0"/>
          </w:rPr>
          <w:t xml:space="preserve">n</w:t>
        </w:r>
      </w:hyperlink>
      <w:hyperlink r:id="rId10">
        <w:r w:rsidDel="00000000" w:rsidR="00000000" w:rsidRPr="00000000">
          <w:rPr>
            <w:rFonts w:ascii="arial" w:cs="arial" w:eastAsia="arial" w:hAnsi="arial"/>
            <w:b w:val="0"/>
            <w:color w:val="1155cc"/>
            <w:sz w:val="20"/>
            <w:szCs w:val="20"/>
            <w:u w:val="single"/>
            <w:rtl w:val="0"/>
          </w:rPr>
          <w:t xml:space="preserve">.iacs@aragon.es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82.0" w:type="dxa"/>
        <w:jc w:val="left"/>
        <w:tblInd w:w="-92.0" w:type="dxa"/>
        <w:tblLayout w:type="fixed"/>
        <w:tblLook w:val="0000"/>
      </w:tblPr>
      <w:tblGrid>
        <w:gridCol w:w="9582"/>
        <w:tblGridChange w:id="0">
          <w:tblGrid>
            <w:gridCol w:w="9582"/>
          </w:tblGrid>
        </w:tblGridChange>
      </w:tblGrid>
      <w:tr>
        <w:trPr>
          <w:cantSplit w:val="0"/>
          <w:trHeight w:val="396" w:hRule="atLeast"/>
          <w:tblHeader w:val="0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548dd4" w:val="clear"/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100" w:before="4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Datos del proyecto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after="60" w:before="60" w:line="240" w:lineRule="auto"/>
              <w:rPr/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Código del proyecto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:  </w:t>
            </w:r>
            <w:r w:rsidDel="00000000" w:rsidR="00000000" w:rsidRPr="00000000">
              <w:rPr>
                <w:b w:val="1"/>
                <w:color w:val="333399"/>
                <w:sz w:val="20"/>
                <w:szCs w:val="20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after="60" w:before="60" w:line="240" w:lineRule="auto"/>
              <w:rPr/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Nombre del proyecto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:  </w:t>
            </w:r>
            <w:r w:rsidDel="00000000" w:rsidR="00000000" w:rsidRPr="00000000">
              <w:rPr>
                <w:b w:val="1"/>
                <w:color w:val="333399"/>
                <w:sz w:val="20"/>
                <w:szCs w:val="20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after="60" w:before="6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shd w:fill="auto" w:val="clear"/>
                <w:rtl w:val="0"/>
              </w:rPr>
              <w:t xml:space="preserve">Investigador Principal :</w:t>
            </w:r>
            <w:r w:rsidDel="00000000" w:rsidR="00000000" w:rsidRPr="00000000">
              <w:rPr>
                <w:b w:val="1"/>
                <w:color w:val="333399"/>
                <w:sz w:val="20"/>
                <w:szCs w:val="20"/>
                <w:shd w:fill="auto" w:val="clear"/>
                <w:rtl w:val="0"/>
              </w:rPr>
              <w:t xml:space="preserve"> 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after="60" w:before="6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shd w:fill="auto" w:val="clear"/>
                <w:rtl w:val="0"/>
              </w:rPr>
              <w:t xml:space="preserve">Grupo de Investigación :</w:t>
            </w:r>
            <w:r w:rsidDel="00000000" w:rsidR="00000000" w:rsidRPr="00000000">
              <w:rPr>
                <w:b w:val="1"/>
                <w:sz w:val="20"/>
                <w:szCs w:val="20"/>
                <w:shd w:fill="auto" w:val="clear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333399"/>
                <w:sz w:val="20"/>
                <w:szCs w:val="20"/>
                <w:shd w:fill="auto" w:val="clear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after="60" w:before="6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Persona de contacto </w:t>
            </w:r>
            <w:r w:rsidDel="00000000" w:rsidR="00000000" w:rsidRPr="00000000">
              <w:rPr>
                <w:b w:val="0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(si es distinto del IP):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color w:val="333399"/>
                <w:sz w:val="20"/>
                <w:szCs w:val="20"/>
                <w:shd w:fill="auto" w:val="clear"/>
                <w:vertAlign w:val="baseline"/>
                <w:rtl w:val="0"/>
              </w:rPr>
              <w:t xml:space="preserve"> 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after="60" w:before="60" w:line="240" w:lineRule="auto"/>
              <w:rPr/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Correo electrónico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:  </w:t>
            </w:r>
            <w:r w:rsidDel="00000000" w:rsidR="00000000" w:rsidRPr="00000000">
              <w:rPr>
                <w:b w:val="1"/>
                <w:color w:val="333399"/>
                <w:sz w:val="20"/>
                <w:szCs w:val="20"/>
                <w:rtl w:val="0"/>
              </w:rPr>
              <w:t xml:space="preserve"> 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                                                        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Teléfono</w:t>
            </w: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0"/>
              </w:rPr>
              <w:t xml:space="preserve">:  </w:t>
            </w:r>
            <w:r w:rsidDel="00000000" w:rsidR="00000000" w:rsidRPr="00000000">
              <w:rPr>
                <w:b w:val="1"/>
                <w:color w:val="333399"/>
                <w:sz w:val="20"/>
                <w:szCs w:val="20"/>
                <w:rtl w:val="0"/>
              </w:rPr>
              <w:t xml:space="preserve"> </w:t>
            </w:r>
            <w:r w:rsidDel="00000000" w:rsidR="00000000" w:rsidRPr="00000000">
              <w:rPr>
                <w:b w:val="1"/>
                <w:color w:val="333399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de proyecto:  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Ensayos Clínicos ☐ Tesis y otros trabajos académicos ☐ Proyectos de Investigación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Estudios Observacionales con Medicamentos (EOM)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after="60" w:before="60" w:line="240" w:lineRule="auto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Financiación del proyecto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:  </w:t>
            </w:r>
            <w:r w:rsidDel="00000000" w:rsidR="00000000" w:rsidRPr="00000000">
              <w:rPr>
                <w:b w:val="1"/>
                <w:color w:val="333399"/>
                <w:sz w:val="20"/>
                <w:szCs w:val="20"/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N.º de solicitud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33339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NO COMPLETAR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uso interno de la unidad de Biocomputación</w:t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85.0" w:type="dxa"/>
        <w:jc w:val="left"/>
        <w:tblInd w:w="-92.0" w:type="dxa"/>
        <w:tblLayout w:type="fixed"/>
        <w:tblLook w:val="0000"/>
      </w:tblPr>
      <w:tblGrid>
        <w:gridCol w:w="9585"/>
        <w:tblGridChange w:id="0">
          <w:tblGrid>
            <w:gridCol w:w="9585"/>
          </w:tblGrid>
        </w:tblGridChange>
      </w:tblGrid>
      <w:tr>
        <w:trPr>
          <w:cantSplit w:val="0"/>
          <w:trHeight w:val="242" w:hRule="atLeast"/>
          <w:tblHeader w:val="0"/>
        </w:trPr>
        <w:tc>
          <w:tcPr>
            <w:tcBorders>
              <w:top w:color="4f81bd" w:space="0" w:sz="4" w:val="single"/>
              <w:left w:color="4f81bd" w:space="0" w:sz="4" w:val="single"/>
              <w:bottom w:color="4f81bd" w:space="0" w:sz="4" w:val="single"/>
              <w:right w:color="4f81bd" w:space="0" w:sz="4" w:val="single"/>
            </w:tcBorders>
            <w:shd w:fill="548dd4" w:val="clear"/>
          </w:tcPr>
          <w:p w:rsidR="00000000" w:rsidDel="00000000" w:rsidP="00000000" w:rsidRDefault="00000000" w:rsidRPr="00000000" w14:paraId="00000011">
            <w:pPr>
              <w:widowControl w:val="0"/>
              <w:spacing w:after="144" w:before="60" w:line="240" w:lineRule="auto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Documentación requerida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Dictamen favorable del CEI pertinente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ADJUNTAR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Documento de Gestión de Datos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ADJUNTAR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85.0" w:type="dxa"/>
        <w:jc w:val="left"/>
        <w:tblInd w:w="-92.0" w:type="dxa"/>
        <w:tblLayout w:type="fixed"/>
        <w:tblLook w:val="0000"/>
      </w:tblPr>
      <w:tblGrid>
        <w:gridCol w:w="9585"/>
        <w:tblGridChange w:id="0">
          <w:tblGrid>
            <w:gridCol w:w="9585"/>
          </w:tblGrid>
        </w:tblGridChange>
      </w:tblGrid>
      <w:tr>
        <w:trPr>
          <w:cantSplit w:val="0"/>
          <w:trHeight w:val="396" w:hRule="atLeast"/>
          <w:tblHeader w:val="0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548dd4" w:val="clear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144" w:before="60" w:line="240" w:lineRule="auto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color w:val="ffffff"/>
                <w:sz w:val="22"/>
                <w:szCs w:val="22"/>
                <w:rtl w:val="0"/>
              </w:rPr>
              <w:t xml:space="preserve">Necesidades de soporte técnico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16">
            <w:pPr>
              <w:widowControl w:val="0"/>
              <w:spacing w:after="0" w:before="40" w:line="240" w:lineRule="auto"/>
              <w:jc w:val="left"/>
              <w:rPr/>
            </w:pPr>
            <w:bookmarkStart w:colFirst="0" w:colLast="0" w:name="_heading=h.2et92p0" w:id="4"/>
            <w:bookmarkEnd w:id="4"/>
            <w:r w:rsidDel="00000000" w:rsidR="00000000" w:rsidRPr="00000000">
              <w:rPr>
                <w:b w:val="0"/>
                <w:i w:val="1"/>
                <w:sz w:val="22"/>
                <w:szCs w:val="22"/>
                <w:shd w:fill="auto" w:val="clear"/>
                <w:rtl w:val="0"/>
              </w:rPr>
              <w:t xml:space="preserve">☐ </w:t>
            </w:r>
            <w:r w:rsidDel="00000000" w:rsidR="00000000" w:rsidRPr="00000000">
              <w:rPr>
                <w:b w:val="0"/>
                <w:i w:val="1"/>
                <w:color w:val="000000"/>
                <w:sz w:val="22"/>
                <w:szCs w:val="22"/>
                <w:shd w:fill="auto" w:val="clear"/>
                <w:rtl w:val="0"/>
              </w:rPr>
              <w:t xml:space="preserve">Se necesita</w:t>
            </w:r>
            <w:r w:rsidDel="00000000" w:rsidR="00000000" w:rsidRPr="00000000">
              <w:rPr>
                <w:b w:val="0"/>
                <w:i w:val="1"/>
                <w:sz w:val="22"/>
                <w:szCs w:val="22"/>
                <w:shd w:fill="auto" w:val="clear"/>
                <w:rtl w:val="0"/>
              </w:rPr>
              <w:t xml:space="preserve"> una instancia de prueba en </w:t>
            </w:r>
            <w:r w:rsidDel="00000000" w:rsidR="00000000" w:rsidRPr="00000000">
              <w:rPr>
                <w:b w:val="0"/>
                <w:i w:val="1"/>
                <w:color w:val="000000"/>
                <w:sz w:val="22"/>
                <w:szCs w:val="22"/>
                <w:shd w:fill="auto" w:val="clear"/>
                <w:rtl w:val="0"/>
              </w:rPr>
              <w:t xml:space="preserve">entorno </w:t>
            </w:r>
            <w:r w:rsidDel="00000000" w:rsidR="00000000" w:rsidRPr="00000000">
              <w:rPr>
                <w:b w:val="0"/>
                <w:i w:val="1"/>
                <w:sz w:val="22"/>
                <w:szCs w:val="22"/>
                <w:shd w:fill="auto" w:val="clear"/>
                <w:rtl w:val="0"/>
              </w:rPr>
              <w:t xml:space="preserve">de preproducción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spacing w:after="0" w:before="40" w:line="240" w:lineRule="auto"/>
              <w:jc w:val="left"/>
              <w:rPr/>
            </w:pPr>
            <w:bookmarkStart w:colFirst="0" w:colLast="0" w:name="_heading=h.tyjcwt" w:id="5"/>
            <w:bookmarkEnd w:id="5"/>
            <w:r w:rsidDel="00000000" w:rsidR="00000000" w:rsidRPr="00000000">
              <w:rPr>
                <w:b w:val="0"/>
                <w:i w:val="1"/>
                <w:sz w:val="22"/>
                <w:szCs w:val="22"/>
                <w:shd w:fill="auto" w:val="clear"/>
                <w:rtl w:val="0"/>
              </w:rPr>
              <w:t xml:space="preserve">☐ Se precisa configuración y generación de la estructura de datos por parte de Biocomputación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18">
            <w:pPr>
              <w:widowControl w:val="0"/>
              <w:spacing w:after="0" w:before="40" w:line="240" w:lineRule="auto"/>
              <w:jc w:val="left"/>
              <w:rPr/>
            </w:pPr>
            <w:bookmarkStart w:colFirst="0" w:colLast="0" w:name="_heading=h.3dy6vkm" w:id="6"/>
            <w:bookmarkEnd w:id="6"/>
            <w:r w:rsidDel="00000000" w:rsidR="00000000" w:rsidRPr="00000000">
              <w:rPr>
                <w:b w:val="0"/>
                <w:i w:val="1"/>
                <w:sz w:val="22"/>
                <w:szCs w:val="22"/>
                <w:shd w:fill="auto" w:val="clear"/>
                <w:rtl w:val="0"/>
              </w:rPr>
              <w:t xml:space="preserve">☐ Se </w:t>
            </w:r>
            <w:r w:rsidDel="00000000" w:rsidR="00000000" w:rsidRPr="00000000">
              <w:rPr>
                <w:sz w:val="22"/>
                <w:szCs w:val="22"/>
                <w:shd w:fill="auto" w:val="clear"/>
                <w:rtl w:val="0"/>
              </w:rPr>
              <w:t xml:space="preserve">Requiere asesoría en el diseño y/o puesta en producción </w:t>
            </w:r>
            <w:r w:rsidDel="00000000" w:rsidR="00000000" w:rsidRPr="00000000">
              <w:rPr>
                <w:color w:val="000000"/>
                <w:sz w:val="22"/>
                <w:szCs w:val="22"/>
                <w:shd w:fill="auto" w:val="clear"/>
                <w:rtl w:val="0"/>
              </w:rPr>
              <w:t xml:space="preserve">del proyecto.   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shd w:fill="auto" w:val="clear"/>
                <w:rtl w:val="0"/>
              </w:rPr>
              <w:t xml:space="preserve">Horas</w:t>
            </w:r>
            <w:r w:rsidDel="00000000" w:rsidR="00000000" w:rsidRPr="00000000">
              <w:rPr>
                <w:color w:val="000000"/>
                <w:sz w:val="22"/>
                <w:szCs w:val="22"/>
                <w:shd w:fill="auto" w:val="clear"/>
                <w:rtl w:val="0"/>
              </w:rPr>
              <w:t xml:space="preserve">: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shd w:fill="auto" w:val="clear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333399"/>
                <w:sz w:val="20"/>
                <w:szCs w:val="20"/>
                <w:rtl w:val="0"/>
              </w:rPr>
              <w:t xml:space="preserve"> </w:t>
            </w:r>
            <w:r w:rsidDel="00000000" w:rsidR="00000000" w:rsidRPr="00000000">
              <w:rPr>
                <w:color w:val="000000"/>
                <w:sz w:val="22"/>
                <w:szCs w:val="22"/>
                <w:shd w:fill="auto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85.0" w:type="dxa"/>
        <w:jc w:val="left"/>
        <w:tblInd w:w="-92.0" w:type="dxa"/>
        <w:tblLayout w:type="fixed"/>
        <w:tblLook w:val="0000"/>
      </w:tblPr>
      <w:tblGrid>
        <w:gridCol w:w="8143"/>
        <w:gridCol w:w="1442"/>
        <w:tblGridChange w:id="0">
          <w:tblGrid>
            <w:gridCol w:w="8143"/>
            <w:gridCol w:w="1442"/>
          </w:tblGrid>
        </w:tblGridChange>
      </w:tblGrid>
      <w:tr>
        <w:trPr>
          <w:cantSplit w:val="0"/>
          <w:trHeight w:val="242" w:hRule="atLeast"/>
          <w:tblHeader w:val="0"/>
        </w:trPr>
        <w:tc>
          <w:tcPr>
            <w:gridSpan w:val="2"/>
            <w:tcBorders>
              <w:top w:color="4f81bd" w:space="0" w:sz="4" w:val="single"/>
              <w:left w:color="4f81bd" w:space="0" w:sz="4" w:val="single"/>
              <w:bottom w:color="4f81bd" w:space="0" w:sz="4" w:val="single"/>
              <w:right w:color="4f81bd" w:space="0" w:sz="4" w:val="single"/>
            </w:tcBorders>
            <w:shd w:fill="548dd4" w:val="clear"/>
          </w:tcPr>
          <w:p w:rsidR="00000000" w:rsidDel="00000000" w:rsidP="00000000" w:rsidRDefault="00000000" w:rsidRPr="00000000" w14:paraId="0000001A">
            <w:pPr>
              <w:widowControl w:val="0"/>
              <w:spacing w:after="144" w:before="60" w:line="240" w:lineRule="auto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Características de la base de datos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f81bd" w:space="0" w:sz="4" w:val="single"/>
              <w:left w:color="4f81bd" w:space="0" w:sz="4" w:val="single"/>
              <w:bottom w:color="4f81bd" w:space="0" w:sz="4" w:val="single"/>
              <w:right w:color="4f81bd" w:space="0" w:sz="4" w:val="single"/>
            </w:tcBorders>
            <w:shd w:fill="dfdfdf" w:val="clear"/>
          </w:tcPr>
          <w:p w:rsidR="00000000" w:rsidDel="00000000" w:rsidP="00000000" w:rsidRDefault="00000000" w:rsidRPr="00000000" w14:paraId="0000001C">
            <w:pPr>
              <w:widowControl w:val="0"/>
              <w:spacing w:after="0" w:before="4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N.º de variables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Número total de variables (datos de laboratorio, datos clínicos, antecedentes médicos...)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4" w:val="single"/>
              <w:left w:color="4f81bd" w:space="0" w:sz="4" w:val="single"/>
              <w:bottom w:color="4f81bd" w:space="0" w:sz="4" w:val="single"/>
              <w:right w:color="4f81bd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f81bd" w:space="0" w:sz="4" w:val="single"/>
              <w:left w:color="4f81bd" w:space="0" w:sz="4" w:val="single"/>
              <w:bottom w:color="4f81bd" w:space="0" w:sz="4" w:val="single"/>
              <w:right w:color="4f81bd" w:space="0" w:sz="4" w:val="single"/>
            </w:tcBorders>
            <w:shd w:fill="dfdfdf" w:val="clear"/>
          </w:tcPr>
          <w:p w:rsidR="00000000" w:rsidDel="00000000" w:rsidP="00000000" w:rsidRDefault="00000000" w:rsidRPr="00000000" w14:paraId="0000001F">
            <w:pPr>
              <w:widowControl w:val="0"/>
              <w:spacing w:after="0" w:before="4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N.º de casos (estimados)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4" w:val="single"/>
              <w:left w:color="4f81bd" w:space="0" w:sz="4" w:val="single"/>
              <w:bottom w:color="4f81bd" w:space="0" w:sz="4" w:val="single"/>
              <w:right w:color="4f81bd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f81bd" w:space="0" w:sz="4" w:val="single"/>
              <w:left w:color="4f81bd" w:space="0" w:sz="4" w:val="single"/>
              <w:bottom w:color="4f81bd" w:space="0" w:sz="4" w:val="single"/>
              <w:right w:color="4f81bd" w:space="0" w:sz="4" w:val="single"/>
            </w:tcBorders>
            <w:shd w:fill="dfdfdf" w:val="clear"/>
          </w:tcPr>
          <w:p w:rsidR="00000000" w:rsidDel="00000000" w:rsidP="00000000" w:rsidRDefault="00000000" w:rsidRPr="00000000" w14:paraId="00000021">
            <w:pPr>
              <w:widowControl w:val="0"/>
              <w:spacing w:after="0" w:before="4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N.º de centros o fuentes de datos involucradas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f81bd" w:space="0" w:sz="4" w:val="single"/>
              <w:left w:color="4f81bd" w:space="0" w:sz="4" w:val="single"/>
              <w:bottom w:color="4f81bd" w:space="0" w:sz="4" w:val="single"/>
              <w:right w:color="4f81bd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4f81bd" w:space="0" w:sz="4" w:val="single"/>
              <w:bottom w:color="4f81bd" w:space="0" w:sz="4" w:val="single"/>
              <w:right w:color="4f81bd" w:space="0" w:sz="4" w:val="single"/>
            </w:tcBorders>
            <w:shd w:fill="dfdfdf" w:val="clear"/>
          </w:tcPr>
          <w:p w:rsidR="00000000" w:rsidDel="00000000" w:rsidP="00000000" w:rsidRDefault="00000000" w:rsidRPr="00000000" w14:paraId="00000023">
            <w:pPr>
              <w:widowControl w:val="0"/>
              <w:spacing w:after="0" w:before="40" w:line="240" w:lineRule="auto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N.º de usuarios y roles necesarios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Personas que necesitan acceso a REDCaP y rol (data entry, project manager, data quality...)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4f81bd" w:space="0" w:sz="4" w:val="single"/>
              <w:bottom w:color="4f81bd" w:space="0" w:sz="4" w:val="single"/>
              <w:right w:color="4f81bd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85.0" w:type="dxa"/>
        <w:jc w:val="left"/>
        <w:tblInd w:w="-92.0" w:type="dxa"/>
        <w:tblLayout w:type="fixed"/>
        <w:tblLook w:val="0000"/>
      </w:tblPr>
      <w:tblGrid>
        <w:gridCol w:w="9585"/>
        <w:tblGridChange w:id="0">
          <w:tblGrid>
            <w:gridCol w:w="9585"/>
          </w:tblGrid>
        </w:tblGridChange>
      </w:tblGrid>
      <w:tr>
        <w:trPr>
          <w:cantSplit w:val="0"/>
          <w:trHeight w:val="396" w:hRule="atLeast"/>
          <w:tblHeader w:val="0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548dd4" w:val="clear"/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144" w:before="60" w:line="240" w:lineRule="auto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color w:val="ffffff"/>
                <w:sz w:val="22"/>
                <w:szCs w:val="22"/>
                <w:rtl w:val="0"/>
              </w:rPr>
              <w:t xml:space="preserve">Carga de datos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after="0" w:before="40" w:line="240" w:lineRule="auto"/>
              <w:jc w:val="left"/>
              <w:rPr/>
            </w:pPr>
            <w:bookmarkStart w:colFirst="0" w:colLast="0" w:name="_heading=h.1t3h5sf" w:id="7"/>
            <w:bookmarkEnd w:id="7"/>
            <w:r w:rsidDel="00000000" w:rsidR="00000000" w:rsidRPr="00000000">
              <w:rPr>
                <w:b w:val="0"/>
                <w:i w:val="1"/>
                <w:sz w:val="22"/>
                <w:szCs w:val="22"/>
                <w:shd w:fill="auto" w:val="clear"/>
                <w:rtl w:val="0"/>
              </w:rPr>
              <w:t xml:space="preserve">Por lotes ☐</w:t>
            </w:r>
            <w:r w:rsidDel="00000000" w:rsidR="00000000" w:rsidRPr="00000000">
              <w:rPr>
                <w:b w:val="0"/>
                <w:i w:val="1"/>
                <w:sz w:val="20"/>
                <w:szCs w:val="20"/>
                <w:shd w:fill="auto" w:val="clear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i w:val="1"/>
                <w:sz w:val="22"/>
                <w:szCs w:val="22"/>
                <w:shd w:fill="auto" w:val="clear"/>
                <w:rtl w:val="0"/>
              </w:rPr>
              <w:t xml:space="preserve"> Manual ☐</w:t>
            </w:r>
            <w:r w:rsidDel="00000000" w:rsidR="00000000" w:rsidRPr="00000000">
              <w:rPr>
                <w:b w:val="0"/>
                <w:i w:val="1"/>
                <w:sz w:val="20"/>
                <w:szCs w:val="20"/>
                <w:shd w:fill="auto" w:val="clear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i w:val="1"/>
                <w:sz w:val="22"/>
                <w:szCs w:val="22"/>
                <w:shd w:fill="auto" w:val="clear"/>
                <w:rtl w:val="0"/>
              </w:rPr>
              <w:t xml:space="preserve"> Mixta ☐</w:t>
            </w:r>
            <w:r w:rsidDel="00000000" w:rsidR="00000000" w:rsidRPr="00000000">
              <w:rPr>
                <w:b w:val="0"/>
                <w:i w:val="1"/>
                <w:sz w:val="20"/>
                <w:szCs w:val="20"/>
                <w:shd w:fill="auto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after="0" w:before="4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585.0" w:type="dxa"/>
        <w:jc w:val="left"/>
        <w:tblInd w:w="-92.0" w:type="dxa"/>
        <w:tblLayout w:type="fixed"/>
        <w:tblLook w:val="0000"/>
      </w:tblPr>
      <w:tblGrid>
        <w:gridCol w:w="9585"/>
        <w:tblGridChange w:id="0">
          <w:tblGrid>
            <w:gridCol w:w="9585"/>
          </w:tblGrid>
        </w:tblGridChange>
      </w:tblGrid>
      <w:tr>
        <w:trPr>
          <w:cantSplit w:val="0"/>
          <w:trHeight w:val="242" w:hRule="atLeast"/>
          <w:tblHeader w:val="0"/>
        </w:trPr>
        <w:tc>
          <w:tcPr>
            <w:tcBorders>
              <w:top w:color="4f81bd" w:space="0" w:sz="4" w:val="single"/>
              <w:left w:color="4f81bd" w:space="0" w:sz="4" w:val="single"/>
              <w:bottom w:color="4f81bd" w:space="0" w:sz="4" w:val="single"/>
              <w:right w:color="4f81bd" w:space="0" w:sz="4" w:val="single"/>
            </w:tcBorders>
            <w:shd w:fill="548dd4" w:val="clear"/>
          </w:tcPr>
          <w:p w:rsidR="00000000" w:rsidDel="00000000" w:rsidP="00000000" w:rsidRDefault="00000000" w:rsidRPr="00000000" w14:paraId="0000002C">
            <w:pPr>
              <w:widowControl w:val="0"/>
              <w:spacing w:after="144" w:before="60" w:line="240" w:lineRule="auto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Tiempo (estimado) de entrada y alojamiento de datos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spacing w:after="60" w:before="60" w:line="240" w:lineRule="auto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Fecha de inicio del proyecto</w:t>
            </w:r>
            <w:r w:rsidDel="00000000" w:rsidR="00000000" w:rsidRPr="00000000">
              <w:rPr>
                <w:b w:val="0"/>
                <w:color w:val="000000"/>
                <w:sz w:val="22"/>
                <w:szCs w:val="22"/>
                <w:rtl w:val="0"/>
              </w:rPr>
              <w:t xml:space="preserve"> (primer acceso a REDCap)</w:t>
            </w: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color w:val="333399"/>
                <w:sz w:val="20"/>
                <w:szCs w:val="20"/>
                <w:rtl w:val="0"/>
              </w:rPr>
              <w:t xml:space="preserve"> dd/mm/aaaa 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after="60" w:before="60" w:line="240" w:lineRule="auto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Fecha de fin del proyecto (fecha hasta la que se deben conservar los datos): </w:t>
            </w:r>
            <w:r w:rsidDel="00000000" w:rsidR="00000000" w:rsidRPr="00000000">
              <w:rPr>
                <w:b w:val="0"/>
                <w:color w:val="333399"/>
                <w:sz w:val="20"/>
                <w:szCs w:val="20"/>
                <w:highlight w:val="lightGray"/>
                <w:rtl w:val="0"/>
              </w:rPr>
              <w:t xml:space="preserve"> dd/mm/aaaa  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after="60" w:before="60" w:line="240" w:lineRule="auto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Duración estimada (meses</w:t>
            </w: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: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color w:val="333399"/>
                <w:sz w:val="20"/>
                <w:szCs w:val="20"/>
                <w:highlight w:val="lightGray"/>
                <w:rtl w:val="0"/>
              </w:rPr>
              <w:t xml:space="preserve">   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b w:val="0"/>
        </w:rPr>
      </w:pPr>
      <w:r w:rsidDel="00000000" w:rsidR="00000000" w:rsidRPr="00000000">
        <w:rPr>
          <w:b w:val="0"/>
          <w:sz w:val="22"/>
          <w:szCs w:val="22"/>
          <w:rtl w:val="0"/>
        </w:rPr>
        <w:t xml:space="preserve">La presente solicitud de acceso servirá como base para la elaboración del presupuesto para la prestación del servicio de activación, gestión y soporte de proyectos de investigación con datos en la plataforma REDCap del Instituto Aragonés de Ciencias de la Salud, de acuerdo con las tarifas públicas del Servicio de Biocomputación (</w:t>
      </w:r>
      <w:hyperlink r:id="rId11">
        <w:r w:rsidDel="00000000" w:rsidR="00000000" w:rsidRPr="00000000">
          <w:rPr>
            <w:b w:val="0"/>
            <w:color w:val="000080"/>
            <w:sz w:val="22"/>
            <w:szCs w:val="22"/>
            <w:u w:val="single"/>
            <w:rtl w:val="0"/>
          </w:rPr>
          <w:t xml:space="preserve">https://bigan.iacs.es/es/servicios/tarifas</w:t>
        </w:r>
      </w:hyperlink>
      <w:r w:rsidDel="00000000" w:rsidR="00000000" w:rsidRPr="00000000">
        <w:rPr>
          <w:b w:val="0"/>
          <w:sz w:val="22"/>
          <w:szCs w:val="22"/>
          <w:rtl w:val="0"/>
        </w:rPr>
        <w:t xml:space="preserve">). Este presupuesto deberá ser aceptado por el investigador y/o solicitante con anterioridad a la obtención del acceso a la plataforma.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b w:val="0"/>
        </w:rPr>
      </w:pPr>
      <w:r w:rsidDel="00000000" w:rsidR="00000000" w:rsidRPr="00000000">
        <w:rPr>
          <w:b w:val="0"/>
          <w:sz w:val="22"/>
          <w:szCs w:val="22"/>
          <w:rtl w:val="0"/>
        </w:rPr>
        <w:t xml:space="preserve">El acceso a la plataforma REDCap del IACS estará supeditado al cumplimiento de las condiciones indicadas en el proyecto aprobado por el CEI correspondiente, al documento de gestión de datos adjunto, y a la legislación vigente en materia de seguridad y protección de datos.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8" w:w="11906" w:orient="portrait"/>
      <w:pgMar w:bottom="1931" w:top="1417" w:left="1701" w:right="1701" w:header="566.9291338582677" w:footer="141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arial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Página </w:t>
    </w: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20"/>
        <w:szCs w:val="20"/>
        <w:rtl w:val="0"/>
      </w:rPr>
      <w:t xml:space="preserve"> de </w:t>
    </w:r>
    <w:r w:rsidDel="00000000" w:rsidR="00000000" w:rsidRPr="00000000">
      <w:rPr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widowControl w:val="0"/>
      <w:tabs>
        <w:tab w:val="center" w:leader="none" w:pos="4252"/>
        <w:tab w:val="right" w:leader="none" w:pos="8504"/>
      </w:tabs>
      <w:rPr>
        <w:sz w:val="24"/>
        <w:szCs w:val="24"/>
        <w:vertAlign w:val="baseline"/>
      </w:rPr>
    </w:pPr>
    <w:r w:rsidDel="00000000" w:rsidR="00000000" w:rsidRPr="00000000">
      <w:rPr/>
      <w:drawing>
        <wp:inline distB="0" distT="0" distL="0" distR="0">
          <wp:extent cx="1628775" cy="37465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2469" l="0" r="0" t="10968"/>
                  <a:stretch>
                    <a:fillRect/>
                  </a:stretch>
                </pic:blipFill>
                <pic:spPr>
                  <a:xfrm>
                    <a:off x="0" y="0"/>
                    <a:ext cx="1628775" cy="374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4152900</wp:posOffset>
          </wp:positionH>
          <wp:positionV relativeFrom="paragraph">
            <wp:posOffset>-66674</wp:posOffset>
          </wp:positionV>
          <wp:extent cx="1620202" cy="492327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20202" cy="492327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7"/>
      <w:tblW w:w="8927.0" w:type="dxa"/>
      <w:jc w:val="left"/>
      <w:tblInd w:w="-108.0" w:type="dxa"/>
      <w:tblLayout w:type="fixed"/>
      <w:tblLook w:val="0000"/>
    </w:tblPr>
    <w:tblGrid>
      <w:gridCol w:w="4322"/>
      <w:gridCol w:w="4605"/>
      <w:tblGridChange w:id="0">
        <w:tblGrid>
          <w:gridCol w:w="4322"/>
          <w:gridCol w:w="4605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36">
          <w:pPr>
            <w:widowControl w:val="0"/>
            <w:tabs>
              <w:tab w:val="center" w:leader="none" w:pos="4252"/>
              <w:tab w:val="right" w:leader="none" w:pos="8504"/>
            </w:tabs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7">
          <w:pPr>
            <w:keepNext w:val="0"/>
            <w:keepLines w:val="0"/>
            <w:widowControl w:val="0"/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8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>
    <w:name w:val="Normal"/>
    <w:next w:val="LOnormal"/>
    <w:qFormat w:val="1"/>
    <w:pPr>
      <w:widowControl w:val="1"/>
      <w:suppressAutoHyphens w:val="1"/>
      <w:bidi w:val="0"/>
      <w:spacing w:after="0" w:before="0" w:line="1" w:lineRule="atLeast"/>
      <w:jc w:val="left"/>
      <w:textAlignment w:val="top"/>
      <w:outlineLvl w:val="0"/>
    </w:pPr>
    <w:rPr>
      <w:rFonts w:ascii="Times New Roman" w:cs="Lohit Devanagari" w:eastAsia="Noto Serif CJK SC" w:hAnsi="Times New Roman"/>
      <w:color w:val="auto"/>
      <w:w w:val="100"/>
      <w:kern w:val="0"/>
      <w:position w:val="0"/>
      <w:sz w:val="24"/>
      <w:szCs w:val="24"/>
      <w:effect w:val="none"/>
      <w:vertAlign w:val="baseline"/>
      <w:em w:val="none"/>
      <w:lang w:bidi="ar-SA" w:eastAsia="es-ES" w:val="es-ES"/>
    </w:rPr>
  </w:style>
  <w:style w:type="paragraph" w:styleId="Ttulo1">
    <w:name w:val="Heading 1"/>
    <w:basedOn w:val="LOnormal"/>
    <w:next w:val="LOnormal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Ttulo2">
    <w:name w:val="Heading 2"/>
    <w:basedOn w:val="LOnormal"/>
    <w:next w:val="LOnormal"/>
    <w:qFormat w:val="1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Ttulo3">
    <w:name w:val="Heading 3"/>
    <w:basedOn w:val="LOnormal"/>
    <w:next w:val="LOnormal"/>
    <w:qFormat w:val="1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Ttulo4">
    <w:name w:val="Heading 4"/>
    <w:basedOn w:val="LOnormal"/>
    <w:next w:val="LOnormal"/>
    <w:qFormat w:val="1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Ttulo5">
    <w:name w:val="Heading 5"/>
    <w:basedOn w:val="LOnormal"/>
    <w:next w:val="LOnormal"/>
    <w:qFormat w:val="1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Ttulo6">
    <w:name w:val="Heading 6"/>
    <w:basedOn w:val="LOnormal"/>
    <w:next w:val="LOnormal"/>
    <w:qFormat w:val="1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character" w:styleId="FuentedeprrafopredeterCarCar">
    <w:name w:val="Fuente de párrafo predeter., Car Car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Parrafo">
    <w:name w:val="Parrafo"/>
    <w:qFormat w:val="1"/>
    <w:rPr>
      <w:rFonts w:ascii="Verdana" w:hAnsi="Verdana"/>
      <w:w w:val="100"/>
      <w:position w:val="0"/>
      <w:sz w:val="22"/>
      <w:effect w:val="none"/>
      <w:vertAlign w:val="baseline"/>
      <w:em w:val="none"/>
    </w:rPr>
  </w:style>
  <w:style w:type="character" w:styleId="Appleconvertedspace">
    <w:name w:val="apple-converted-space"/>
    <w:basedOn w:val="FuentedeprrafopredeterCarCar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EnlacedeInternet">
    <w:name w:val="Enlace de Internet"/>
    <w:rPr>
      <w:color w:val="000080"/>
      <w:u w:val="single"/>
    </w:rPr>
  </w:style>
  <w:style w:type="paragraph" w:styleId="Ttulo">
    <w:name w:val="Título"/>
    <w:basedOn w:val="Normal"/>
    <w:next w:val="Cuerpodetexto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ue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ohit Devanagari"/>
    </w:rPr>
  </w:style>
  <w:style w:type="paragraph" w:styleId="LOnormal" w:default="1">
    <w:name w:val="LO-normal"/>
    <w:qFormat w:val="1"/>
    <w:pPr>
      <w:widowControl w:val="1"/>
      <w:suppressAutoHyphens w:val="1"/>
      <w:bidi w:val="0"/>
      <w:spacing w:after="0" w:before="0"/>
      <w:jc w:val="left"/>
    </w:pPr>
    <w:rPr>
      <w:rFonts w:ascii="Times New Roman" w:cs="Lohit Devanagari" w:eastAsia="Noto Serif CJK SC" w:hAnsi="Times New Roman"/>
      <w:color w:val="auto"/>
      <w:kern w:val="0"/>
      <w:sz w:val="24"/>
      <w:szCs w:val="24"/>
      <w:lang w:bidi="hi-IN" w:eastAsia="zh-CN" w:val="es-ES"/>
    </w:rPr>
  </w:style>
  <w:style w:type="paragraph" w:styleId="Ttulogeneral">
    <w:name w:val="Title"/>
    <w:basedOn w:val="LOnormal"/>
    <w:next w:val="LOnormal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Encabezado">
    <w:name w:val="Encabezado"/>
    <w:basedOn w:val="LOnormal"/>
    <w:qFormat w:val="1"/>
    <w:pPr>
      <w:tabs>
        <w:tab w:val="clear" w:pos="720"/>
        <w:tab w:val="center" w:leader="none" w:pos="4252"/>
        <w:tab w:val="right" w:leader="none" w:pos="8504"/>
      </w:tabs>
      <w:suppressAutoHyphens w:val="1"/>
      <w:spacing w:line="1" w:lineRule="atLeast"/>
      <w:textAlignment w:val="top"/>
      <w:outlineLvl w:val="0"/>
    </w:pPr>
    <w:rPr>
      <w:w w:val="100"/>
      <w:position w:val="0"/>
      <w:sz w:val="24"/>
      <w:szCs w:val="24"/>
      <w:effect w:val="none"/>
      <w:vertAlign w:val="baseline"/>
      <w:em w:val="none"/>
      <w:lang w:bidi="ar-SA" w:eastAsia="es-ES" w:val="es-ES"/>
    </w:rPr>
  </w:style>
  <w:style w:type="paragraph" w:styleId="Cabeceraypie">
    <w:name w:val="Cabecera y pie"/>
    <w:basedOn w:val="Normal"/>
    <w:qFormat w:val="1"/>
    <w:pPr/>
    <w:rPr/>
  </w:style>
  <w:style w:type="paragraph" w:styleId="Piedepgina">
    <w:name w:val="Footer"/>
    <w:basedOn w:val="LOnormal"/>
    <w:qFormat w:val="1"/>
    <w:pPr>
      <w:tabs>
        <w:tab w:val="clear" w:pos="720"/>
        <w:tab w:val="center" w:leader="none" w:pos="4252"/>
        <w:tab w:val="right" w:leader="none" w:pos="8504"/>
      </w:tabs>
      <w:suppressAutoHyphens w:val="1"/>
      <w:spacing w:line="1" w:lineRule="atLeast"/>
      <w:textAlignment w:val="top"/>
      <w:outlineLvl w:val="0"/>
    </w:pPr>
    <w:rPr>
      <w:w w:val="100"/>
      <w:position w:val="0"/>
      <w:sz w:val="24"/>
      <w:szCs w:val="24"/>
      <w:effect w:val="none"/>
      <w:vertAlign w:val="baseline"/>
      <w:em w:val="none"/>
      <w:lang w:bidi="ar-SA" w:eastAsia="es-ES" w:val="es-ES"/>
    </w:rPr>
  </w:style>
  <w:style w:type="paragraph" w:styleId="Textodeglobo">
    <w:name w:val="Texto de globo"/>
    <w:basedOn w:val="LOnormal"/>
    <w:qFormat w:val="1"/>
    <w:pPr>
      <w:suppressAutoHyphens w:val="1"/>
      <w:spacing w:line="1" w:lineRule="atLeast"/>
      <w:textAlignment w:val="top"/>
      <w:outlineLvl w:val="0"/>
    </w:pPr>
    <w:rPr>
      <w:rFonts w:ascii="Tahoma" w:cs="Tahoma" w:hAnsi="Tahoma"/>
      <w:w w:val="100"/>
      <w:position w:val="0"/>
      <w:sz w:val="16"/>
      <w:szCs w:val="16"/>
      <w:effect w:val="none"/>
      <w:vertAlign w:val="baseline"/>
      <w:em w:val="none"/>
      <w:lang w:bidi="ar-SA" w:eastAsia="es-ES" w:val="es-ES"/>
    </w:rPr>
  </w:style>
  <w:style w:type="paragraph" w:styleId="NormalWeb">
    <w:name w:val="Normal (Web)"/>
    <w:basedOn w:val="LOnormal"/>
    <w:qFormat w:val="1"/>
    <w:pPr>
      <w:suppressAutoHyphens w:val="1"/>
      <w:spacing w:afterAutospacing="1" w:beforeAutospacing="1" w:line="1" w:lineRule="atLeast"/>
      <w:textAlignment w:val="top"/>
      <w:outlineLvl w:val="0"/>
    </w:pPr>
    <w:rPr>
      <w:w w:val="100"/>
      <w:position w:val="0"/>
      <w:sz w:val="24"/>
      <w:szCs w:val="24"/>
      <w:effect w:val="none"/>
      <w:vertAlign w:val="baseline"/>
      <w:em w:val="none"/>
      <w:lang w:bidi="ar-SA" w:eastAsia="es-ES" w:val="es-ES"/>
    </w:rPr>
  </w:style>
  <w:style w:type="paragraph" w:styleId="Subttulo">
    <w:name w:val="Subtitle"/>
    <w:basedOn w:val="LOnormal"/>
    <w:next w:val="LOnormal"/>
    <w:qFormat w:val="1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abecera">
    <w:name w:val="Header"/>
    <w:basedOn w:val="Cabeceraypie"/>
    <w:pPr/>
    <w:rPr/>
  </w:style>
  <w:style w:type="paragraph" w:styleId="Contenidodelatabla">
    <w:name w:val="Contenido de la tabla"/>
    <w:basedOn w:val="Normal"/>
    <w:qFormat w:val="1"/>
    <w:pPr>
      <w:widowControl w:val="0"/>
      <w:suppressLineNumbers w:val="1"/>
    </w:pPr>
    <w:rPr/>
  </w:style>
  <w:style w:type="paragraph" w:styleId="Ttulodelatabla">
    <w:name w:val="Título de la tabla"/>
    <w:basedOn w:val="Contenidodelatabla"/>
    <w:qFormat w:val="1"/>
    <w:pPr>
      <w:suppressLineNumbers w:val="1"/>
      <w:jc w:val="center"/>
    </w:pPr>
    <w:rPr>
      <w:b w:val="1"/>
      <w:bCs w:val="1"/>
    </w:rPr>
  </w:style>
  <w:style w:type="numbering" w:styleId="Sinlista">
    <w:name w:val="Sin lista"/>
    <w:qFormat w:val="1"/>
  </w:style>
  <w:style w:type="table" w:styleId="TableNormal" w:default="1">
    <w:name w:val="Table Normal"/>
  </w:style>
  <w:style w:type="table" w:styleId="Tablanormal">
    <w:name w:val="Tabla normal"/>
    <w:qFormat w:val="1"/>
    <w:pPr>
      <w:spacing w:line="1" w:lineRule="atLeast"/>
      <w:ind w:rightChars="0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aconcuadrícula">
    <w:name w:val="Tabla con cuadrícula"/>
    <w:basedOn w:val="Tablanormal"/>
    <w:qFormat w:val="1"/>
    <w:pPr>
      <w:spacing w:line="1" w:lineRule="atLeast"/>
      <w:ind w:rightChars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bigan.iacs.es/es/servicios/tarifas" TargetMode="External"/><Relationship Id="rId10" Type="http://schemas.openxmlformats.org/officeDocument/2006/relationships/hyperlink" Target="mailto:biocomputacion.iacs@aragon.es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biocomputacion.iacs@aragon.e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iocomputacion.iacs@aragon.es" TargetMode="External"/><Relationship Id="rId8" Type="http://schemas.openxmlformats.org/officeDocument/2006/relationships/hyperlink" Target="mailto:biocomputacion.iacs@aragon.e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OkjZu7lEEg4AOcfor0dcE/aiNw==">CgMxLjAyCGguZ2pkZ3hzMgloLjMwajB6bGwyCWguMWZvYjl0ZTIJaC4zem55c2g3MgloLjJldDkycDAyCGgudHlqY3d0MgloLjNkeTZ2a20yCWguMXQzaDVzZjgAciExNlRDMExsTHB4ZDhqbndHZ19nRXJDcFF5OWtoS2hrWEg=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2017-10-16T09:54:00Z</dcterms:created>
  <dc:creator>Elsa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